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1C3" w:rsidRPr="00DF1381" w:rsidRDefault="00DF1381" w:rsidP="00DF1381">
      <w:pPr>
        <w:jc w:val="center"/>
        <w:rPr>
          <w:rFonts w:ascii="Times New Roman" w:hAnsi="Times New Roman" w:cs="Times New Roman"/>
          <w:b/>
          <w:sz w:val="26"/>
          <w:szCs w:val="26"/>
        </w:rPr>
      </w:pPr>
      <w:r w:rsidRPr="00DF1381">
        <w:rPr>
          <w:rFonts w:ascii="Times New Roman" w:hAnsi="Times New Roman" w:cs="Times New Roman"/>
          <w:b/>
          <w:sz w:val="26"/>
          <w:szCs w:val="26"/>
        </w:rPr>
        <w:t>20.09.2012, 1.prednáška</w:t>
      </w:r>
    </w:p>
    <w:p w:rsidR="00DF1381" w:rsidRDefault="00DF1381" w:rsidP="00DF1381">
      <w:pPr>
        <w:jc w:val="both"/>
        <w:rPr>
          <w:rFonts w:ascii="Times New Roman" w:hAnsi="Times New Roman" w:cs="Times New Roman"/>
        </w:rPr>
      </w:pPr>
      <w:r w:rsidRPr="00DF1381">
        <w:rPr>
          <w:rFonts w:ascii="Times New Roman" w:hAnsi="Times New Roman" w:cs="Times New Roman"/>
          <w:b/>
        </w:rPr>
        <w:t>Administratívny systém</w:t>
      </w:r>
      <w:r>
        <w:rPr>
          <w:rFonts w:ascii="Times New Roman" w:hAnsi="Times New Roman" w:cs="Times New Roman"/>
        </w:rPr>
        <w:t xml:space="preserve"> – súbor, systém jednotlivých orgánov a inštitúcií EÚ. Súbor tých orgánov, ktoré majú rozhodovacie právomoci tak vo vzťahu k EÚ samej, vo vzťahu k iným orgánom či inštitúciám EÚ, vo vzťahu k členským štátom, vo vzťahu k fyzickým a právnickým osobám vo vnútri členských štátov, pričom nemusia zahŕňať všetky tieto atribúty súčasne</w:t>
      </w:r>
      <w:r w:rsidR="003740C1">
        <w:rPr>
          <w:rFonts w:ascii="Times New Roman" w:hAnsi="Times New Roman" w:cs="Times New Roman"/>
        </w:rPr>
        <w:t>,</w:t>
      </w:r>
      <w:r>
        <w:rPr>
          <w:rFonts w:ascii="Times New Roman" w:hAnsi="Times New Roman" w:cs="Times New Roman"/>
        </w:rPr>
        <w:t xml:space="preserve"> a takisto majú určité rozhodovacie mechanizmy aj vo vzťahu k iným subjektom medzinárodného práva. </w:t>
      </w:r>
    </w:p>
    <w:p w:rsidR="003E75EB" w:rsidRDefault="00DF1381" w:rsidP="00DF1381">
      <w:pPr>
        <w:jc w:val="both"/>
        <w:rPr>
          <w:rFonts w:ascii="Times New Roman" w:hAnsi="Times New Roman" w:cs="Times New Roman"/>
        </w:rPr>
      </w:pPr>
      <w:r>
        <w:rPr>
          <w:rFonts w:ascii="Times New Roman" w:hAnsi="Times New Roman" w:cs="Times New Roman"/>
          <w:b/>
        </w:rPr>
        <w:t>Orgán (</w:t>
      </w:r>
      <w:r w:rsidRPr="00DF1381">
        <w:rPr>
          <w:rFonts w:ascii="Times New Roman" w:hAnsi="Times New Roman" w:cs="Times New Roman"/>
          <w:b/>
        </w:rPr>
        <w:t>inštitúcia</w:t>
      </w:r>
      <w:r>
        <w:rPr>
          <w:rFonts w:ascii="Times New Roman" w:hAnsi="Times New Roman" w:cs="Times New Roman"/>
          <w:b/>
        </w:rPr>
        <w:t>)</w:t>
      </w:r>
      <w:r w:rsidRPr="00DF1381">
        <w:rPr>
          <w:rFonts w:ascii="Times New Roman" w:hAnsi="Times New Roman" w:cs="Times New Roman"/>
          <w:b/>
        </w:rPr>
        <w:t xml:space="preserve"> EÚ</w:t>
      </w:r>
      <w:r>
        <w:rPr>
          <w:rFonts w:ascii="Times New Roman" w:hAnsi="Times New Roman" w:cs="Times New Roman"/>
        </w:rPr>
        <w:t xml:space="preserve"> – 1. Je vymedzený z hľadiska svojej pozície a právomoci v zakladateľskej zmluve. Žiaden orgán nemôže byť orgánom, pokiaľ by nemal základ v zakladateľskej zmluve. ZZ špecifikujú postavenie orgánov v EÚ. </w:t>
      </w:r>
      <w:r w:rsidRPr="00F81BC7">
        <w:rPr>
          <w:rFonts w:ascii="Times New Roman" w:hAnsi="Times New Roman" w:cs="Times New Roman"/>
          <w:color w:val="000000" w:themeColor="text1"/>
        </w:rPr>
        <w:t>Vedľajšie orgány a inštitúcie môžu byť následne zriadené aj orgánom EÚ</w:t>
      </w:r>
      <w:r w:rsidR="003E75EB">
        <w:rPr>
          <w:rFonts w:ascii="Times New Roman" w:hAnsi="Times New Roman" w:cs="Times New Roman"/>
        </w:rPr>
        <w:t>, ktorý</w:t>
      </w:r>
      <w:r>
        <w:rPr>
          <w:rFonts w:ascii="Times New Roman" w:hAnsi="Times New Roman" w:cs="Times New Roman"/>
        </w:rPr>
        <w:t xml:space="preserve"> má na základe zakladateľských zmlúv právomoc tieto orgány zriaďovať. </w:t>
      </w:r>
      <w:r w:rsidR="003E75EB">
        <w:rPr>
          <w:rFonts w:ascii="Times New Roman" w:hAnsi="Times New Roman" w:cs="Times New Roman"/>
        </w:rPr>
        <w:t xml:space="preserve">Orgány a inštitúcie EÚ sú právnické osoby (môžu konať len to, čo im právny systém EÚ dovoľuje). Majú jasne vymedzené a špecifikované právomoci,  ktoré sú jednak v zakladateľských zmluvách, ich revíziách a ďalej sú rozpracované v štatútoch jednotlivých orgánov. Sú budované na tzv.  </w:t>
      </w:r>
      <w:r w:rsidR="003E75EB" w:rsidRPr="003E75EB">
        <w:rPr>
          <w:rFonts w:ascii="Times New Roman" w:hAnsi="Times New Roman" w:cs="Times New Roman"/>
          <w:u w:val="single"/>
        </w:rPr>
        <w:t>zastupiteľskom princípe</w:t>
      </w:r>
      <w:r w:rsidR="003E75EB">
        <w:rPr>
          <w:rFonts w:ascii="Times New Roman" w:hAnsi="Times New Roman" w:cs="Times New Roman"/>
        </w:rPr>
        <w:t xml:space="preserve"> (všetky hlavné orgány musia mať v svojom zložení zástupcu každého jedného orgánu – min. 1 z členského štátu, môže byť buď na základe parity (Komisia – každý štát má jedného zástupcu) alebo na základe proporcionality (počet zástupcov v orgáne je priamoúmerný od veličín, ktoré sú vopred jasne stanovené – Parlament).      (Opakom zastupiteľského princípu je princíp menovací alebo princíp odbornosti.)          Platí skutočnosť, že hlavné a pomocné a vedľajšie orgány sú budované na zastupiteľskom princípe. </w:t>
      </w:r>
    </w:p>
    <w:p w:rsidR="003E75EB" w:rsidRDefault="003E75EB" w:rsidP="00DF1381">
      <w:pPr>
        <w:jc w:val="both"/>
        <w:rPr>
          <w:rFonts w:ascii="Times New Roman" w:hAnsi="Times New Roman" w:cs="Times New Roman"/>
        </w:rPr>
      </w:pPr>
      <w:r>
        <w:rPr>
          <w:rFonts w:ascii="Times New Roman" w:hAnsi="Times New Roman" w:cs="Times New Roman"/>
        </w:rPr>
        <w:t xml:space="preserve">2. Rozhodujú na základe presne určených postupov vopred dohodnutých a odsúhlasených všetkými členskými štátmi. </w:t>
      </w:r>
    </w:p>
    <w:p w:rsidR="003E75EB" w:rsidRDefault="003E75EB" w:rsidP="00DF1381">
      <w:pPr>
        <w:jc w:val="both"/>
        <w:rPr>
          <w:rFonts w:ascii="Times New Roman" w:hAnsi="Times New Roman" w:cs="Times New Roman"/>
        </w:rPr>
      </w:pPr>
      <w:r>
        <w:rPr>
          <w:rFonts w:ascii="Times New Roman" w:hAnsi="Times New Roman" w:cs="Times New Roman"/>
        </w:rPr>
        <w:t>3. Orgány EÚ majú zostrojené  vzájomné väzby tak, aby podliehali kontrole medzi sebou navzájom, pričom tým vrcholným orgánom kontrolnej činnosti je Súdny dvor</w:t>
      </w:r>
      <w:r w:rsidR="005C10E4">
        <w:rPr>
          <w:rFonts w:ascii="Times New Roman" w:hAnsi="Times New Roman" w:cs="Times New Roman"/>
        </w:rPr>
        <w:t xml:space="preserve">. Členské štáty nemajú právo kontrolovať orgány EÚ, ale môžu podať žalobu na Súdny dvor, ktorý má špecifikované také druhy konaní, aby danú skutočnosť vyriešil. </w:t>
      </w:r>
    </w:p>
    <w:p w:rsidR="005C10E4" w:rsidRDefault="005C10E4" w:rsidP="00DF1381">
      <w:pPr>
        <w:jc w:val="both"/>
        <w:rPr>
          <w:rFonts w:ascii="Times New Roman" w:hAnsi="Times New Roman" w:cs="Times New Roman"/>
        </w:rPr>
      </w:pPr>
      <w:r>
        <w:rPr>
          <w:rFonts w:ascii="Times New Roman" w:hAnsi="Times New Roman" w:cs="Times New Roman"/>
        </w:rPr>
        <w:t xml:space="preserve">4. Fungujú na kolektívnom princípe, tzn. nerozhoduje sa na základe rozhodnutia jedného subjektu, ale na základe určitej vzájomnej dohody. Dohoda je väčšinou dosahovaná hlasovaním. </w:t>
      </w:r>
    </w:p>
    <w:p w:rsidR="005C10E4" w:rsidRDefault="005C10E4" w:rsidP="00DF1381">
      <w:pPr>
        <w:jc w:val="both"/>
        <w:rPr>
          <w:rFonts w:ascii="Times New Roman" w:hAnsi="Times New Roman" w:cs="Times New Roman"/>
        </w:rPr>
      </w:pPr>
      <w:r>
        <w:rPr>
          <w:rFonts w:ascii="Times New Roman" w:hAnsi="Times New Roman" w:cs="Times New Roman"/>
        </w:rPr>
        <w:t>5. Orgány EÚ na základe právomocí ich daných vytvárajú právny systém EÚ.</w:t>
      </w:r>
    </w:p>
    <w:p w:rsidR="005C10E4" w:rsidRDefault="005C10E4" w:rsidP="00DF1381">
      <w:pPr>
        <w:jc w:val="both"/>
        <w:rPr>
          <w:rFonts w:ascii="Times New Roman" w:hAnsi="Times New Roman" w:cs="Times New Roman"/>
        </w:rPr>
      </w:pPr>
      <w:r>
        <w:rPr>
          <w:rFonts w:ascii="Times New Roman" w:hAnsi="Times New Roman" w:cs="Times New Roman"/>
        </w:rPr>
        <w:t xml:space="preserve">6. Orgány EÚ majú dosah aj na jednotlivé členské štáty a ich orgány, naopak to neplatí. </w:t>
      </w:r>
    </w:p>
    <w:p w:rsidR="005C10E4" w:rsidRDefault="005C10E4" w:rsidP="00DF1381">
      <w:pPr>
        <w:jc w:val="both"/>
        <w:rPr>
          <w:rFonts w:ascii="Times New Roman" w:hAnsi="Times New Roman" w:cs="Times New Roman"/>
        </w:rPr>
      </w:pPr>
      <w:r>
        <w:rPr>
          <w:rFonts w:ascii="Times New Roman" w:hAnsi="Times New Roman" w:cs="Times New Roman"/>
        </w:rPr>
        <w:t>7. Nie sú odvolacími orgánmi voči orgánom členských štátov, majú presne špecifikovanú právomoc v rámci ktorej konajú, ktorá môže byť často podobná tej právomoci, ktorou disponujú ich „partneri“ v jednotlivých členských štátoch. (napr. Komisia – výkonný orgán EÚ, nezasahuje priamo do činnosti vlády členského štátu, ale tými svojimi rozhodnutiami zasahuje do tejto činnosti. Naopak to byť nemôže.)</w:t>
      </w:r>
    </w:p>
    <w:p w:rsidR="005C10E4" w:rsidRDefault="005C10E4" w:rsidP="00DF1381">
      <w:pPr>
        <w:jc w:val="both"/>
        <w:rPr>
          <w:rFonts w:ascii="Times New Roman" w:hAnsi="Times New Roman" w:cs="Times New Roman"/>
        </w:rPr>
      </w:pPr>
      <w:r>
        <w:rPr>
          <w:rFonts w:ascii="Times New Roman" w:hAnsi="Times New Roman" w:cs="Times New Roman"/>
        </w:rPr>
        <w:t>8. Orgány EÚ</w:t>
      </w:r>
      <w:r w:rsidR="00A3445A">
        <w:rPr>
          <w:rFonts w:ascii="Times New Roman" w:hAnsi="Times New Roman" w:cs="Times New Roman"/>
        </w:rPr>
        <w:t xml:space="preserve"> nie sú štátne orgány, ale disponujú takými právomocami, ako v klasických štátoch disponujú štátne orgány, preto ich činnosť ako právnickej osoby je obmedzená zakladajúci, určujúcimi právnymi predpismi. Tieto orgány EÚ vznikajú v dôsledku toho, že štáty preniesli časť svojej suverenity na úniu ako celok, čím im dali mocenský charakter. </w:t>
      </w:r>
    </w:p>
    <w:p w:rsidR="006E0ED6" w:rsidRDefault="006E0ED6" w:rsidP="00DF1381">
      <w:pPr>
        <w:jc w:val="both"/>
        <w:rPr>
          <w:rFonts w:ascii="Times New Roman" w:hAnsi="Times New Roman" w:cs="Times New Roman"/>
        </w:rPr>
      </w:pPr>
      <w:r>
        <w:rPr>
          <w:rFonts w:ascii="Times New Roman" w:hAnsi="Times New Roman" w:cs="Times New Roman"/>
        </w:rPr>
        <w:t xml:space="preserve">Orgány EÚ – stále ich vnímame v pozícií orgánov medzinárodnej organizácie, niektoré z nich však </w:t>
      </w:r>
      <w:r w:rsidR="00ED121D">
        <w:rPr>
          <w:rFonts w:ascii="Times New Roman" w:hAnsi="Times New Roman" w:cs="Times New Roman"/>
        </w:rPr>
        <w:t xml:space="preserve">vykazujú jasné znaky štátnych orgánov. </w:t>
      </w:r>
    </w:p>
    <w:p w:rsidR="00ED121D" w:rsidRPr="00ED121D" w:rsidRDefault="00ED121D" w:rsidP="00DF1381">
      <w:pPr>
        <w:jc w:val="both"/>
        <w:rPr>
          <w:rFonts w:ascii="Times New Roman" w:hAnsi="Times New Roman" w:cs="Times New Roman"/>
          <w:u w:val="single"/>
        </w:rPr>
      </w:pPr>
      <w:r w:rsidRPr="00ED121D">
        <w:rPr>
          <w:rFonts w:ascii="Times New Roman" w:hAnsi="Times New Roman" w:cs="Times New Roman"/>
          <w:u w:val="single"/>
        </w:rPr>
        <w:t xml:space="preserve">Vznik a vývoj jednotlivých orgánov: </w:t>
      </w:r>
    </w:p>
    <w:p w:rsidR="00ED121D" w:rsidRDefault="00ED121D" w:rsidP="00ED121D">
      <w:pPr>
        <w:pStyle w:val="Odstavecseseznamem"/>
        <w:numPr>
          <w:ilvl w:val="0"/>
          <w:numId w:val="1"/>
        </w:numPr>
        <w:jc w:val="both"/>
        <w:rPr>
          <w:rFonts w:ascii="Times New Roman" w:hAnsi="Times New Roman" w:cs="Times New Roman"/>
        </w:rPr>
      </w:pPr>
      <w:r w:rsidRPr="00ED121D">
        <w:rPr>
          <w:rFonts w:ascii="Times New Roman" w:hAnsi="Times New Roman" w:cs="Times New Roman"/>
          <w:b/>
          <w:u w:val="single"/>
        </w:rPr>
        <w:t>etapa vzniku</w:t>
      </w:r>
      <w:r w:rsidRPr="00ED121D">
        <w:rPr>
          <w:rFonts w:ascii="Times New Roman" w:hAnsi="Times New Roman" w:cs="Times New Roman"/>
        </w:rPr>
        <w:t xml:space="preserve"> </w:t>
      </w:r>
      <w:r>
        <w:rPr>
          <w:rFonts w:ascii="Times New Roman" w:hAnsi="Times New Roman" w:cs="Times New Roman"/>
        </w:rPr>
        <w:t xml:space="preserve">– základom bola zakladateľská zmluva ESUO z r. 1951, ňou sa zriadili: Vysoký úrad, Rada, Parlamentné zhromaždenie a Súdny dvor. </w:t>
      </w:r>
      <w:r w:rsidRPr="00ED121D">
        <w:rPr>
          <w:rFonts w:ascii="Times New Roman" w:hAnsi="Times New Roman" w:cs="Times New Roman"/>
          <w:b/>
        </w:rPr>
        <w:t>Vysoký úrad</w:t>
      </w:r>
      <w:r>
        <w:rPr>
          <w:rFonts w:ascii="Times New Roman" w:hAnsi="Times New Roman" w:cs="Times New Roman"/>
        </w:rPr>
        <w:t xml:space="preserve"> bol vnímaný ako najvyšší výkonný orgán, mal rozhodovacie právomoci a niesol zodpovednosť za vykonávanie zmlúv. Mal 9 členov, tie veľké štáty mali 2 a tie malé jedného člena. Úrad mohol prijímať rozhodnutia väčšinovým spôsobom avšak len v prípadoch, kedy mu to zmluva dovoľovala. </w:t>
      </w:r>
      <w:r w:rsidRPr="00ED121D">
        <w:rPr>
          <w:rFonts w:ascii="Times New Roman" w:hAnsi="Times New Roman" w:cs="Times New Roman"/>
          <w:b/>
        </w:rPr>
        <w:t>Rada</w:t>
      </w:r>
      <w:r>
        <w:rPr>
          <w:rFonts w:ascii="Times New Roman" w:hAnsi="Times New Roman" w:cs="Times New Roman"/>
        </w:rPr>
        <w:t xml:space="preserve"> bola poradným orgánom, každý štát nominoval jedného zástupcu = 6 členov. </w:t>
      </w:r>
      <w:r w:rsidRPr="00ED121D">
        <w:rPr>
          <w:rFonts w:ascii="Times New Roman" w:hAnsi="Times New Roman" w:cs="Times New Roman"/>
          <w:b/>
        </w:rPr>
        <w:t>Parlamentné zhromaždenie</w:t>
      </w:r>
      <w:r>
        <w:rPr>
          <w:rFonts w:ascii="Times New Roman" w:hAnsi="Times New Roman" w:cs="Times New Roman"/>
        </w:rPr>
        <w:t xml:space="preserve"> malo pôvodne kontrolné a poradné právomoci, bolo zložené zo zástupcov </w:t>
      </w:r>
      <w:r>
        <w:rPr>
          <w:rFonts w:ascii="Times New Roman" w:hAnsi="Times New Roman" w:cs="Times New Roman"/>
        </w:rPr>
        <w:lastRenderedPageBreak/>
        <w:t xml:space="preserve">parlamentov jednotlivých 6 krajín. Podľa týchto právomocí mal pozíciu slabého orgánu. </w:t>
      </w:r>
      <w:r w:rsidRPr="00ED121D">
        <w:rPr>
          <w:rFonts w:ascii="Times New Roman" w:hAnsi="Times New Roman" w:cs="Times New Roman"/>
          <w:b/>
        </w:rPr>
        <w:t>Súdny dvor</w:t>
      </w:r>
      <w:r>
        <w:rPr>
          <w:rFonts w:ascii="Times New Roman" w:hAnsi="Times New Roman" w:cs="Times New Roman"/>
        </w:rPr>
        <w:t xml:space="preserve"> pozostával z 9 sudcov a bol zriadený pre vykonávanie klasickej súdnej agendy. </w:t>
      </w:r>
    </w:p>
    <w:p w:rsidR="00ED121D" w:rsidRPr="00ED121D" w:rsidRDefault="00ED121D" w:rsidP="00ED121D">
      <w:pPr>
        <w:pStyle w:val="Odstavecseseznamem"/>
        <w:numPr>
          <w:ilvl w:val="0"/>
          <w:numId w:val="1"/>
        </w:numPr>
        <w:jc w:val="both"/>
        <w:rPr>
          <w:rFonts w:ascii="Times New Roman" w:hAnsi="Times New Roman" w:cs="Times New Roman"/>
        </w:rPr>
      </w:pPr>
      <w:r w:rsidRPr="00691517">
        <w:rPr>
          <w:rFonts w:ascii="Times New Roman" w:hAnsi="Times New Roman" w:cs="Times New Roman"/>
          <w:b/>
          <w:u w:val="single"/>
        </w:rPr>
        <w:t>etapa zlúčenia</w:t>
      </w:r>
      <w:r>
        <w:rPr>
          <w:rFonts w:ascii="Times New Roman" w:hAnsi="Times New Roman" w:cs="Times New Roman"/>
        </w:rPr>
        <w:t xml:space="preserve"> – v r. 1958 bol podpísaná d</w:t>
      </w:r>
      <w:r w:rsidR="003740C1">
        <w:rPr>
          <w:rFonts w:ascii="Times New Roman" w:hAnsi="Times New Roman" w:cs="Times New Roman"/>
        </w:rPr>
        <w:t xml:space="preserve">ohoda o spoločných orgánoch. Na </w:t>
      </w:r>
      <w:r>
        <w:rPr>
          <w:rFonts w:ascii="Times New Roman" w:hAnsi="Times New Roman" w:cs="Times New Roman"/>
        </w:rPr>
        <w:t xml:space="preserve">jej základe došlo k zlúčeniu 3 parlamentných zhromaždení – za ESUO, EHS a EURATOM do jedného parlamentného zhromaždenia a takisto sa zlúčili 3 Súdne dvory do jedného, pričom tieto zlúčené orgány vykonávali svoju činnosť pre všetky 3 spoločenstvá. </w:t>
      </w:r>
      <w:r w:rsidR="00691517">
        <w:rPr>
          <w:rFonts w:ascii="Times New Roman" w:hAnsi="Times New Roman" w:cs="Times New Roman"/>
        </w:rPr>
        <w:t>Štruktúra týchto orgánov bola nasledovná: ESUO – Rada, Vysoký úrad, Parlamentné zhromaždenie, Súdny dvor; EHS – Komisia, Rada, Spoločné parlamentné zhromaždenie, Spoločný Súdny dvor; EURATOM – Komisia, Rada, Spoločné parlamentné zhromaždenie, Spoločný Súdny dvor. V r. 1965 bola prijatá Zmluva o zlúčení, kde sa 3 Rady zlúčili do jednej a Vysoký úrad ESUO, Komisia EHS a </w:t>
      </w:r>
      <w:proofErr w:type="spellStart"/>
      <w:r w:rsidR="00691517">
        <w:rPr>
          <w:rFonts w:ascii="Times New Roman" w:hAnsi="Times New Roman" w:cs="Times New Roman"/>
        </w:rPr>
        <w:t>EURATOMu</w:t>
      </w:r>
      <w:proofErr w:type="spellEnd"/>
      <w:r w:rsidR="00691517">
        <w:rPr>
          <w:rFonts w:ascii="Times New Roman" w:hAnsi="Times New Roman" w:cs="Times New Roman"/>
        </w:rPr>
        <w:t xml:space="preserve"> sa zlúčili do jednej Komisie, do platnosti vstúpila r. 1967 – odvtedy máme orgány: Rada, Komisia, Parlament a Súd, kde každý jeden z týchto orgánov vykonával právomoci pre všetky 3 spoločenstvá, no zároveň si strážil tú svoju pozíciu voči každému zo spoločenstiev (ak komisia riešila istú skutočnosť ESUA, riadil sa zakladateľskou zmluvou ESUA).</w:t>
      </w:r>
    </w:p>
    <w:p w:rsidR="00ED121D" w:rsidRDefault="00ED121D" w:rsidP="00ED121D">
      <w:pPr>
        <w:pStyle w:val="Odstavecseseznamem"/>
        <w:numPr>
          <w:ilvl w:val="0"/>
          <w:numId w:val="1"/>
        </w:numPr>
        <w:jc w:val="both"/>
        <w:rPr>
          <w:rFonts w:ascii="Times New Roman" w:hAnsi="Times New Roman" w:cs="Times New Roman"/>
        </w:rPr>
      </w:pPr>
      <w:r w:rsidRPr="00691517">
        <w:rPr>
          <w:rFonts w:ascii="Times New Roman" w:hAnsi="Times New Roman" w:cs="Times New Roman"/>
          <w:b/>
          <w:u w:val="single"/>
        </w:rPr>
        <w:t>etapa rozširovania</w:t>
      </w:r>
      <w:r w:rsidR="00691517">
        <w:rPr>
          <w:rFonts w:ascii="Times New Roman" w:hAnsi="Times New Roman" w:cs="Times New Roman"/>
        </w:rPr>
        <w:t xml:space="preserve"> – postupne tým, že sa rozširovali spoločenstvá bola intenzívnejšie nastoľovaná otázka reformácie inštitúcií, navyše do popredia vystupovala aj politická integrácia a ES sa pasovali so skutočnosťami, akú pozíciu zaujať v oblasti zahraničných vzťahov. Toto vyriešila Európska rada, ktorá vznikla r. 1974, kedy sa stretli vrcholní predstavitelia členských štátov a predseda Komisie, preto ju JEA r. 1986 inštitucionalizoval (dal jej podobu orgánu EÚ) a JEA priniesol aj ďalšie zmeny v orgánoch. Ako prvý začal hovoriť o zriedení nového súdneho orgánu – r. 1988 vznikol Súd I. stupňa</w:t>
      </w:r>
      <w:r w:rsidR="00400482">
        <w:rPr>
          <w:rFonts w:ascii="Times New Roman" w:hAnsi="Times New Roman" w:cs="Times New Roman"/>
        </w:rPr>
        <w:t>. P</w:t>
      </w:r>
      <w:r w:rsidR="00691517">
        <w:rPr>
          <w:rFonts w:ascii="Times New Roman" w:hAnsi="Times New Roman" w:cs="Times New Roman"/>
        </w:rPr>
        <w:t>osilnila sa pozícia Parlamentného zhromaždenia, ktoré získalo právo vyjadrovať sa k otázke prijímania nových členov</w:t>
      </w:r>
      <w:r w:rsidR="00400482">
        <w:rPr>
          <w:rFonts w:ascii="Times New Roman" w:hAnsi="Times New Roman" w:cs="Times New Roman"/>
        </w:rPr>
        <w:t>, čiastočne sa rozšírili oprávnenia Komisie a definitívne sa v Rade prelomil tzv. Luxemburský kompromis, keďže sa zaviedlo väčšinové hlasovanie ako bežný spôsob hlasovania v Rade. Ďalšie zmeny nastali Maastrichtskou zmluvou. EÚ oficiálne potvrdila ER ako svoj orgán a stanovila jej špecifickú pozíciu – zostala mimo štruktúry základných orgánov a mimo kontroly Súdneho dvora a Európskeho parlamentu. Medzičasom sa Parlamentné zhromaždenie premenovalo na EP, priznala sa mu rozpočtová právomoc a zriadila sa ECB a EIB, zriadil sa systém európskych centrálnych bánk a Účtovný dvor bol zaradený medzi hlavné orgány ako orgán určený na preskúmavanie všetkých príjmov a výdavkov spoločenstva. Ďalšie zmeny boli zriadené Amsterdamskou zmluvou. Zriadila sa funkcia generálneho sekretára Rady ako vysokého predstaviteľa únie pre zahraničnú politiku, zmenil sa spôsob kreácie Komisie, vytvoril sa trojuholník orgánov EÚ: Komisia, Parlament a Rada, ktorý zabezpečuje normotvorbu únie. Zmluva z </w:t>
      </w:r>
      <w:proofErr w:type="spellStart"/>
      <w:r w:rsidR="00400482">
        <w:rPr>
          <w:rFonts w:ascii="Times New Roman" w:hAnsi="Times New Roman" w:cs="Times New Roman"/>
        </w:rPr>
        <w:t>Nice</w:t>
      </w:r>
      <w:proofErr w:type="spellEnd"/>
      <w:r w:rsidR="00400482">
        <w:rPr>
          <w:rFonts w:ascii="Times New Roman" w:hAnsi="Times New Roman" w:cs="Times New Roman"/>
        </w:rPr>
        <w:t xml:space="preserve"> (významným spôsobom zreformovala súdnu moc) – dal sa základ pre zriadenie nového súdneho orgánu, upravila právomoci tým smerom, ako fungujú dodnes. </w:t>
      </w:r>
    </w:p>
    <w:p w:rsidR="00ED121D" w:rsidRPr="00ED121D" w:rsidRDefault="00ED121D" w:rsidP="00ED121D">
      <w:pPr>
        <w:pStyle w:val="Odstavecseseznamem"/>
        <w:numPr>
          <w:ilvl w:val="0"/>
          <w:numId w:val="1"/>
        </w:numPr>
        <w:jc w:val="both"/>
        <w:rPr>
          <w:rFonts w:ascii="Times New Roman" w:hAnsi="Times New Roman" w:cs="Times New Roman"/>
        </w:rPr>
      </w:pPr>
      <w:r w:rsidRPr="00400482">
        <w:rPr>
          <w:rFonts w:ascii="Times New Roman" w:hAnsi="Times New Roman" w:cs="Times New Roman"/>
          <w:b/>
          <w:u w:val="single"/>
        </w:rPr>
        <w:t>etapa reformná</w:t>
      </w:r>
      <w:r w:rsidR="00400482">
        <w:rPr>
          <w:rFonts w:ascii="Times New Roman" w:hAnsi="Times New Roman" w:cs="Times New Roman"/>
        </w:rPr>
        <w:t xml:space="preserve"> – je predstavovaná Lisabonskou zmluvou. Dáva nám  orgány do pozície, v akej sú dnes. </w:t>
      </w:r>
    </w:p>
    <w:p w:rsidR="00ED121D" w:rsidRPr="00DF1381" w:rsidRDefault="00ED121D" w:rsidP="00DF1381">
      <w:pPr>
        <w:jc w:val="both"/>
        <w:rPr>
          <w:rFonts w:ascii="Times New Roman" w:hAnsi="Times New Roman" w:cs="Times New Roman"/>
        </w:rPr>
      </w:pPr>
    </w:p>
    <w:sectPr w:rsidR="00ED121D" w:rsidRPr="00DF1381" w:rsidSect="008435A7">
      <w:pgSz w:w="11906" w:h="16838"/>
      <w:pgMar w:top="851" w:right="707" w:bottom="851"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A6F93"/>
    <w:multiLevelType w:val="hybridMultilevel"/>
    <w:tmpl w:val="1B46BA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hyphenationZone w:val="425"/>
  <w:characterSpacingControl w:val="doNotCompress"/>
  <w:compat>
    <w:useFELayout/>
  </w:compat>
  <w:rsids>
    <w:rsidRoot w:val="00DF1381"/>
    <w:rsid w:val="001969FA"/>
    <w:rsid w:val="002051C3"/>
    <w:rsid w:val="003740C1"/>
    <w:rsid w:val="003E75EB"/>
    <w:rsid w:val="00400482"/>
    <w:rsid w:val="005C10E4"/>
    <w:rsid w:val="00691517"/>
    <w:rsid w:val="006E0ED6"/>
    <w:rsid w:val="008435A7"/>
    <w:rsid w:val="00A118E8"/>
    <w:rsid w:val="00A3445A"/>
    <w:rsid w:val="00A709EE"/>
    <w:rsid w:val="00CA6DAF"/>
    <w:rsid w:val="00DF1381"/>
    <w:rsid w:val="00EC4825"/>
    <w:rsid w:val="00ED121D"/>
    <w:rsid w:val="00F81BC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051C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D121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4294965941</TotalTime>
  <Pages>1</Pages>
  <Words>1065</Words>
  <Characters>6077</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Vločková</dc:creator>
  <cp:keywords/>
  <dc:description/>
  <cp:lastModifiedBy>Vločková</cp:lastModifiedBy>
  <cp:revision>9</cp:revision>
  <cp:lastPrinted>2013-01-04T15:02:00Z</cp:lastPrinted>
  <dcterms:created xsi:type="dcterms:W3CDTF">2012-09-21T06:40:00Z</dcterms:created>
  <dcterms:modified xsi:type="dcterms:W3CDTF">2013-01-29T19:35:00Z</dcterms:modified>
</cp:coreProperties>
</file>