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40" w:rsidRPr="00D9171F" w:rsidRDefault="00011BDF" w:rsidP="00011BDF">
      <w:pPr>
        <w:pStyle w:val="Nzev"/>
        <w:rPr>
          <w:sz w:val="44"/>
          <w:szCs w:val="44"/>
        </w:rPr>
      </w:pPr>
      <w:r w:rsidRPr="00D9171F">
        <w:rPr>
          <w:sz w:val="44"/>
          <w:szCs w:val="44"/>
        </w:rPr>
        <w:t>Základné črty súdnej ochrany subjektívnych práv</w:t>
      </w:r>
    </w:p>
    <w:tbl>
      <w:tblPr>
        <w:tblStyle w:val="Svtlstnovnzvraznn5"/>
        <w:tblW w:w="0" w:type="auto"/>
        <w:tblLook w:val="04A0"/>
      </w:tblPr>
      <w:tblGrid>
        <w:gridCol w:w="3884"/>
        <w:gridCol w:w="3884"/>
        <w:gridCol w:w="3885"/>
        <w:gridCol w:w="3885"/>
      </w:tblGrid>
      <w:tr w:rsidR="00011BDF" w:rsidTr="00D9171F">
        <w:trPr>
          <w:cnfStyle w:val="100000000000"/>
        </w:trPr>
        <w:tc>
          <w:tcPr>
            <w:cnfStyle w:val="001000000000"/>
            <w:tcW w:w="3884" w:type="dxa"/>
          </w:tcPr>
          <w:p w:rsidR="00011BDF" w:rsidRDefault="00011BD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</w:p>
        </w:tc>
        <w:tc>
          <w:tcPr>
            <w:tcW w:w="3884" w:type="dxa"/>
          </w:tcPr>
          <w:p w:rsidR="00011BDF" w:rsidRDefault="00011BDF" w:rsidP="00D9171F">
            <w:pPr>
              <w:cnfStyle w:val="100000000000"/>
            </w:pPr>
            <w:proofErr w:type="spellStart"/>
            <w:r>
              <w:t>legisakčný</w:t>
            </w:r>
            <w:proofErr w:type="spellEnd"/>
          </w:p>
        </w:tc>
        <w:tc>
          <w:tcPr>
            <w:tcW w:w="3885" w:type="dxa"/>
          </w:tcPr>
          <w:p w:rsidR="00011BDF" w:rsidRDefault="00011BDF" w:rsidP="00D9171F">
            <w:pPr>
              <w:cnfStyle w:val="100000000000"/>
            </w:pPr>
            <w:proofErr w:type="spellStart"/>
            <w:r>
              <w:t>Formulový</w:t>
            </w:r>
            <w:proofErr w:type="spellEnd"/>
          </w:p>
        </w:tc>
        <w:tc>
          <w:tcPr>
            <w:tcW w:w="3885" w:type="dxa"/>
          </w:tcPr>
          <w:p w:rsidR="00011BDF" w:rsidRDefault="00011BDF" w:rsidP="00D9171F">
            <w:pPr>
              <w:cnfStyle w:val="100000000000"/>
            </w:pPr>
            <w:proofErr w:type="spellStart"/>
            <w:r>
              <w:t>Kogničný</w:t>
            </w:r>
            <w:proofErr w:type="spellEnd"/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obdobie</w:t>
            </w:r>
          </w:p>
        </w:tc>
        <w:tc>
          <w:tcPr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republika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Prelom republika / cisárstvo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proofErr w:type="spellStart"/>
            <w:r>
              <w:t>Principát</w:t>
            </w:r>
            <w:proofErr w:type="spellEnd"/>
            <w:r>
              <w:t xml:space="preserve">, </w:t>
            </w:r>
            <w:proofErr w:type="spellStart"/>
            <w:r>
              <w:t>dominát</w:t>
            </w:r>
            <w:proofErr w:type="spellEnd"/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proces</w:t>
            </w:r>
          </w:p>
        </w:tc>
        <w:tc>
          <w:tcPr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riadny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riadny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Mimoriadny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Počet fáz</w:t>
            </w:r>
          </w:p>
        </w:tc>
        <w:tc>
          <w:tcPr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2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2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1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Postavenie magistrátu</w:t>
            </w:r>
          </w:p>
        </w:tc>
        <w:tc>
          <w:tcPr>
            <w:tcW w:w="3884" w:type="dxa"/>
          </w:tcPr>
          <w:p w:rsidR="00011BDF" w:rsidRDefault="008D637C" w:rsidP="008D637C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Magistrát  vzal na vedomie tvrdenia sporových strán =&gt; buď nasledoval priamy ochranný zákrok alebo odkázal spor na samosudcu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Magistrát sa podrobne oboznámil so stanoviskom strán, vymedzil rozsah a priebeh sporu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Magistrát úplne prevzal preskúmanie aj rozhodnutie sporu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011BD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</w:p>
        </w:tc>
        <w:tc>
          <w:tcPr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Nepružný, veľmi formálny, len pre občanov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Menej formálny, sprístupnil sa aj cudzincom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Neformálny, pružný, prístup v celej ríši a univerzálny pre všetky subjektívne práva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Exekúcia</w:t>
            </w:r>
          </w:p>
        </w:tc>
        <w:tc>
          <w:tcPr>
            <w:tcW w:w="3884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Osobitnou exekučnou žalobou</w:t>
            </w:r>
          </w:p>
        </w:tc>
        <w:tc>
          <w:tcPr>
            <w:tcW w:w="3885" w:type="dxa"/>
          </w:tcPr>
          <w:p w:rsidR="00011BDF" w:rsidRDefault="008D637C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Exekučná žaloba = exekúcia na majetok zatláča exekúciu na osobu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Povoľuje sudca, realizuje ju osobitný súdny vykonávateľ – osobná, majetková</w:t>
            </w:r>
          </w:p>
        </w:tc>
      </w:tr>
      <w:tr w:rsidR="008D42C9" w:rsidTr="00D9171F">
        <w:trPr>
          <w:cnfStyle w:val="000000100000"/>
        </w:trPr>
        <w:tc>
          <w:tcPr>
            <w:cnfStyle w:val="001000000000"/>
            <w:tcW w:w="3884" w:type="dxa"/>
          </w:tcPr>
          <w:p w:rsidR="008D42C9" w:rsidRDefault="008D42C9" w:rsidP="00F73067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</w:p>
        </w:tc>
        <w:tc>
          <w:tcPr>
            <w:tcW w:w="3884" w:type="dxa"/>
          </w:tcPr>
          <w:p w:rsidR="008D42C9" w:rsidRDefault="008D42C9" w:rsidP="00F73067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Na osobu</w:t>
            </w:r>
          </w:p>
        </w:tc>
        <w:tc>
          <w:tcPr>
            <w:tcW w:w="3885" w:type="dxa"/>
          </w:tcPr>
          <w:p w:rsidR="008D42C9" w:rsidRDefault="008D42C9" w:rsidP="00F73067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Osobná, majetková, výnimočne singulárna (senátori)</w:t>
            </w:r>
          </w:p>
        </w:tc>
        <w:tc>
          <w:tcPr>
            <w:tcW w:w="3885" w:type="dxa"/>
          </w:tcPr>
          <w:p w:rsidR="008D42C9" w:rsidRDefault="00D9171F" w:rsidP="00F73067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Majetková, singulárna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spory</w:t>
            </w:r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verejné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verejné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Neverejné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Právna ochrana</w:t>
            </w:r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bezplatná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bezplatná</w:t>
            </w:r>
          </w:p>
        </w:tc>
        <w:tc>
          <w:tcPr>
            <w:tcW w:w="3885" w:type="dxa"/>
          </w:tcPr>
          <w:p w:rsidR="00011BDF" w:rsidRDefault="00DA3263" w:rsidP="00DA3263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Strany museli trovy za písomnosti uhradiť vo forme poplatkov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plnenie</w:t>
            </w:r>
          </w:p>
        </w:tc>
        <w:tc>
          <w:tcPr>
            <w:tcW w:w="3884" w:type="dxa"/>
          </w:tcPr>
          <w:p w:rsidR="00011BDF" w:rsidRDefault="00011BD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peniazmi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Peniaze alebo sporná vec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Rozlišovanie žalôb</w:t>
            </w:r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áno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áno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Nerozlišujú sa civilné a </w:t>
            </w:r>
            <w:proofErr w:type="spellStart"/>
            <w:r>
              <w:t>prétorské</w:t>
            </w:r>
            <w:proofErr w:type="spellEnd"/>
            <w:r>
              <w:t xml:space="preserve"> žaloby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Zásada nie 2x o tej istej veci</w:t>
            </w:r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áno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Áno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Žalobca mohol žiadať tú istú vec, kým nebol spokojný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Opravné prostriedky</w:t>
            </w:r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Len mimoriadny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Len mimoriadny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Možné odvolanie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proofErr w:type="spellStart"/>
            <w:r>
              <w:t>Litis</w:t>
            </w:r>
            <w:proofErr w:type="spellEnd"/>
            <w:r>
              <w:t xml:space="preserve"> </w:t>
            </w:r>
            <w:proofErr w:type="spellStart"/>
            <w:r>
              <w:t>contestatio</w:t>
            </w:r>
            <w:proofErr w:type="spellEnd"/>
          </w:p>
        </w:tc>
        <w:tc>
          <w:tcPr>
            <w:tcW w:w="3884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Obsahovala dohodu o spore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Obsahovala dohodu o spore</w:t>
            </w:r>
          </w:p>
        </w:tc>
        <w:tc>
          <w:tcPr>
            <w:tcW w:w="3885" w:type="dxa"/>
          </w:tcPr>
          <w:p w:rsidR="00011BDF" w:rsidRDefault="00DA3263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Zmenil sa jej zmysel;</w:t>
            </w:r>
            <w:r w:rsidR="008D42C9">
              <w:t xml:space="preserve"> žalobná žiadosť a jej popretie žalovaným =&gt; významná pre vyčíslenie konečnej sumy</w:t>
            </w:r>
          </w:p>
        </w:tc>
      </w:tr>
      <w:tr w:rsidR="00011BDF" w:rsidTr="00D9171F">
        <w:trPr>
          <w:cnfStyle w:val="000000100000"/>
        </w:trPr>
        <w:tc>
          <w:tcPr>
            <w:cnfStyle w:val="001000000000"/>
            <w:tcW w:w="3884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Najvyššia váha dôkazov</w:t>
            </w:r>
          </w:p>
        </w:tc>
        <w:tc>
          <w:tcPr>
            <w:tcW w:w="3884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svedkovia</w:t>
            </w:r>
          </w:p>
        </w:tc>
        <w:tc>
          <w:tcPr>
            <w:tcW w:w="3885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Svedkovia (</w:t>
            </w:r>
            <w:proofErr w:type="spellStart"/>
            <w:r>
              <w:t>testes</w:t>
            </w:r>
            <w:proofErr w:type="spellEnd"/>
            <w:r>
              <w:t>)</w:t>
            </w:r>
          </w:p>
        </w:tc>
        <w:tc>
          <w:tcPr>
            <w:tcW w:w="3885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Listiny (svedkovia =&gt; menejcenní</w:t>
            </w:r>
          </w:p>
        </w:tc>
      </w:tr>
      <w:tr w:rsidR="00011BDF" w:rsidTr="00D9171F">
        <w:tc>
          <w:tcPr>
            <w:cnfStyle w:val="001000000000"/>
            <w:tcW w:w="3884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zastúpenie</w:t>
            </w:r>
          </w:p>
        </w:tc>
        <w:tc>
          <w:tcPr>
            <w:tcW w:w="3884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Len výnimočné prípady</w:t>
            </w:r>
          </w:p>
        </w:tc>
        <w:tc>
          <w:tcPr>
            <w:tcW w:w="3885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Uznané nepriame</w:t>
            </w:r>
          </w:p>
        </w:tc>
        <w:tc>
          <w:tcPr>
            <w:tcW w:w="3885" w:type="dxa"/>
          </w:tcPr>
          <w:p w:rsidR="00011BDF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Nepriame</w:t>
            </w:r>
          </w:p>
        </w:tc>
      </w:tr>
      <w:tr w:rsidR="008D42C9" w:rsidTr="00D9171F">
        <w:trPr>
          <w:cnfStyle w:val="000000100000"/>
        </w:trPr>
        <w:tc>
          <w:tcPr>
            <w:cnfStyle w:val="001000000000"/>
            <w:tcW w:w="3884" w:type="dxa"/>
          </w:tcPr>
          <w:p w:rsidR="008D42C9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žaloba</w:t>
            </w:r>
          </w:p>
        </w:tc>
        <w:tc>
          <w:tcPr>
            <w:tcW w:w="3884" w:type="dxa"/>
          </w:tcPr>
          <w:p w:rsidR="008D42C9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Procesný prostriedok, riadila sa procesným právom</w:t>
            </w:r>
          </w:p>
        </w:tc>
        <w:tc>
          <w:tcPr>
            <w:tcW w:w="3885" w:type="dxa"/>
          </w:tcPr>
          <w:p w:rsidR="008D42C9" w:rsidRDefault="008D42C9" w:rsidP="00A278D1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Procesný prostriedok, riadila sa procesným právom</w:t>
            </w:r>
          </w:p>
        </w:tc>
        <w:tc>
          <w:tcPr>
            <w:tcW w:w="3885" w:type="dxa"/>
          </w:tcPr>
          <w:p w:rsidR="008D42C9" w:rsidRDefault="008D42C9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Len pravidlá materiálneho práva; nie je pojmom procesného práva len vyjadrením súkromného práva</w:t>
            </w:r>
          </w:p>
        </w:tc>
      </w:tr>
      <w:tr w:rsidR="008D42C9" w:rsidTr="00D9171F">
        <w:tc>
          <w:tcPr>
            <w:cnfStyle w:val="001000000000"/>
            <w:tcW w:w="3884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Ukončenie sporu</w:t>
            </w:r>
          </w:p>
        </w:tc>
        <w:tc>
          <w:tcPr>
            <w:tcW w:w="3884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Odmietnutím stávky</w:t>
            </w:r>
          </w:p>
        </w:tc>
        <w:tc>
          <w:tcPr>
            <w:tcW w:w="3885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Prísahou / pokonávkou</w:t>
            </w:r>
          </w:p>
        </w:tc>
        <w:tc>
          <w:tcPr>
            <w:tcW w:w="3885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000000"/>
            </w:pPr>
            <w:r>
              <w:t>Uznaním / prísahou v akomkoľvek štádiu sporu</w:t>
            </w:r>
          </w:p>
        </w:tc>
      </w:tr>
      <w:tr w:rsidR="008D42C9" w:rsidTr="00D9171F">
        <w:trPr>
          <w:cnfStyle w:val="000000100000"/>
        </w:trPr>
        <w:tc>
          <w:tcPr>
            <w:cnfStyle w:val="001000000000"/>
            <w:tcW w:w="3884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</w:pPr>
            <w:r>
              <w:t>Žalobná formula</w:t>
            </w:r>
          </w:p>
        </w:tc>
        <w:tc>
          <w:tcPr>
            <w:tcW w:w="3884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potrebná</w:t>
            </w:r>
          </w:p>
        </w:tc>
        <w:tc>
          <w:tcPr>
            <w:tcW w:w="3885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>Nutná; smernica pre sudcu</w:t>
            </w:r>
          </w:p>
        </w:tc>
        <w:tc>
          <w:tcPr>
            <w:tcW w:w="3885" w:type="dxa"/>
          </w:tcPr>
          <w:p w:rsidR="008D42C9" w:rsidRDefault="00D9171F" w:rsidP="00011BDF">
            <w:pPr>
              <w:tabs>
                <w:tab w:val="left" w:pos="3686"/>
                <w:tab w:val="left" w:pos="7371"/>
                <w:tab w:val="left" w:pos="11057"/>
                <w:tab w:val="center" w:pos="15451"/>
              </w:tabs>
              <w:cnfStyle w:val="000000100000"/>
            </w:pPr>
            <w:r>
              <w:t xml:space="preserve"> Začatie sporu nepredpokladalo procesnú smernicu ani formulu</w:t>
            </w:r>
          </w:p>
        </w:tc>
      </w:tr>
    </w:tbl>
    <w:p w:rsidR="00011BDF" w:rsidRPr="00011BDF" w:rsidRDefault="00011BDF" w:rsidP="00D9171F">
      <w:pPr>
        <w:tabs>
          <w:tab w:val="left" w:pos="3686"/>
          <w:tab w:val="left" w:pos="7371"/>
          <w:tab w:val="left" w:pos="11057"/>
          <w:tab w:val="center" w:pos="15451"/>
        </w:tabs>
      </w:pPr>
    </w:p>
    <w:sectPr w:rsidR="00011BDF" w:rsidRPr="00011BDF" w:rsidSect="00011B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1BDF"/>
    <w:rsid w:val="00011BDF"/>
    <w:rsid w:val="005B0240"/>
    <w:rsid w:val="008D42C9"/>
    <w:rsid w:val="008D637C"/>
    <w:rsid w:val="00D9171F"/>
    <w:rsid w:val="00DA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0240"/>
  </w:style>
  <w:style w:type="paragraph" w:styleId="Nadpis1">
    <w:name w:val="heading 1"/>
    <w:basedOn w:val="Normln"/>
    <w:next w:val="Normln"/>
    <w:link w:val="Nadpis1Char"/>
    <w:uiPriority w:val="9"/>
    <w:qFormat/>
    <w:rsid w:val="00011B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011B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11B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011B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01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zvraznn5">
    <w:name w:val="Light Shading Accent 5"/>
    <w:basedOn w:val="Normlntabulka"/>
    <w:uiPriority w:val="60"/>
    <w:rsid w:val="00D9171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2012-12-22T13:26:00Z</dcterms:created>
  <dcterms:modified xsi:type="dcterms:W3CDTF">2012-12-22T14:14:00Z</dcterms:modified>
</cp:coreProperties>
</file>