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C8" w:rsidRDefault="00FB0323">
      <w:pPr>
        <w:pStyle w:val="Heading1"/>
        <w:spacing w:before="0"/>
        <w:rPr>
          <w:rFonts w:ascii="Arial" w:hAnsi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/>
          <w:color w:val="000000"/>
          <w:sz w:val="28"/>
          <w:szCs w:val="28"/>
        </w:rPr>
        <w:t>Poistenie - základy a princípy</w:t>
      </w:r>
    </w:p>
    <w:p w:rsidR="006515C8" w:rsidRDefault="006515C8">
      <w:pPr>
        <w:pStyle w:val="Standard"/>
        <w:rPr>
          <w:rFonts w:ascii="Arial" w:hAnsi="Arial"/>
          <w:sz w:val="28"/>
          <w:szCs w:val="28"/>
        </w:rPr>
      </w:pPr>
    </w:p>
    <w:p w:rsidR="006515C8" w:rsidRDefault="00FB0323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Riziko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Ľudstvo je ovplyvňované náhodnými udalosťami. Tieto vyplývajú buď z prírodných javov, alebo zo samotnej podstaty ľudstva. Tým, že sú tieto javy </w:t>
      </w:r>
      <w:r>
        <w:rPr>
          <w:rFonts w:ascii="Arial" w:hAnsi="Arial"/>
        </w:rPr>
        <w:t>náhodné a nepredvídateľné, dochádza k neistote. V prípade, že vieme mieru neistoty merať, hovoríme o riziku.</w:t>
      </w:r>
    </w:p>
    <w:p w:rsidR="006515C8" w:rsidRDefault="00FB0323">
      <w:pPr>
        <w:pStyle w:val="Standard"/>
        <w:rPr>
          <w:rFonts w:hint="eastAsia"/>
        </w:rPr>
      </w:pPr>
      <w:r>
        <w:rPr>
          <w:rFonts w:ascii="Arial" w:hAnsi="Arial"/>
          <w:b/>
          <w:bCs/>
        </w:rPr>
        <w:t>Riziko</w:t>
      </w:r>
      <w:r>
        <w:rPr>
          <w:rFonts w:ascii="Arial" w:hAnsi="Arial"/>
        </w:rPr>
        <w:t xml:space="preserve"> je teda neistota, pri ktorej vieme povedať (vypočítať), s akou pravdepodobnosťou jav nastane a aké bude mať dôsledky.</w:t>
      </w:r>
    </w:p>
    <w:p w:rsidR="006515C8" w:rsidRDefault="006515C8">
      <w:pPr>
        <w:pStyle w:val="Standard"/>
        <w:rPr>
          <w:rFonts w:ascii="Arial" w:hAnsi="Arial"/>
        </w:rPr>
      </w:pP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Riziko môžeme rozdeli</w:t>
      </w:r>
      <w:r>
        <w:rPr>
          <w:rFonts w:ascii="Arial" w:hAnsi="Arial"/>
        </w:rPr>
        <w:t>ť na:</w:t>
      </w:r>
    </w:p>
    <w:p w:rsidR="006515C8" w:rsidRDefault="00FB0323">
      <w:pPr>
        <w:pStyle w:val="Standard"/>
        <w:numPr>
          <w:ilvl w:val="0"/>
          <w:numId w:val="10"/>
        </w:numPr>
        <w:rPr>
          <w:rFonts w:hint="eastAsia"/>
        </w:rPr>
      </w:pPr>
      <w:r>
        <w:rPr>
          <w:rFonts w:ascii="Arial" w:hAnsi="Arial"/>
          <w:u w:val="single"/>
        </w:rPr>
        <w:t>Subjektívne riziko</w:t>
      </w:r>
      <w:r>
        <w:rPr>
          <w:rFonts w:ascii="Arial" w:hAnsi="Arial"/>
        </w:rPr>
        <w:t xml:space="preserve"> - vzniká na základe konania ľudí. Je väčšinou zapríčinené: neopatrnosťou, schopnosťami a charakterovými vlastnosťami, morálnym rizikom.</w:t>
      </w:r>
    </w:p>
    <w:p w:rsidR="006515C8" w:rsidRDefault="00FB0323">
      <w:pPr>
        <w:pStyle w:val="Standard"/>
        <w:numPr>
          <w:ilvl w:val="0"/>
          <w:numId w:val="10"/>
        </w:numPr>
        <w:rPr>
          <w:rFonts w:hint="eastAsia"/>
        </w:rPr>
      </w:pPr>
      <w:r>
        <w:rPr>
          <w:rFonts w:ascii="Arial" w:hAnsi="Arial"/>
          <w:u w:val="single"/>
        </w:rPr>
        <w:t>Objektívne riziko</w:t>
      </w:r>
      <w:r>
        <w:rPr>
          <w:rFonts w:ascii="Arial" w:hAnsi="Arial"/>
        </w:rPr>
        <w:t xml:space="preserve"> - vzniká na základe objektívne daných skutočností. Napríklad blesk, alebo iná</w:t>
      </w:r>
      <w:r>
        <w:rPr>
          <w:rFonts w:ascii="Arial" w:hAnsi="Arial"/>
        </w:rPr>
        <w:t xml:space="preserve"> prírodná katastrofa.</w:t>
      </w: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Poistenie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Každý ekonomický subjekt je pri svojej činnosti konfrontovaný s rizikom. Sú dva spôsoby, akými môže zmenšovať následky neočakávaných situácií:</w:t>
      </w:r>
    </w:p>
    <w:p w:rsidR="006515C8" w:rsidRDefault="00FB0323">
      <w:pPr>
        <w:pStyle w:val="Standard"/>
        <w:numPr>
          <w:ilvl w:val="0"/>
          <w:numId w:val="11"/>
        </w:numPr>
        <w:rPr>
          <w:rFonts w:hint="eastAsia"/>
        </w:rPr>
      </w:pPr>
      <w:r>
        <w:rPr>
          <w:rFonts w:ascii="Arial" w:hAnsi="Arial"/>
          <w:u w:val="single"/>
        </w:rPr>
        <w:t>Samopoistenie</w:t>
      </w:r>
      <w:r>
        <w:rPr>
          <w:rFonts w:ascii="Arial" w:hAnsi="Arial"/>
        </w:rPr>
        <w:t xml:space="preserve"> - krytie rizika z vlastných zdrojov. Väčšinou ide o vlastné rezervn</w:t>
      </w:r>
      <w:r>
        <w:rPr>
          <w:rFonts w:ascii="Arial" w:hAnsi="Arial"/>
        </w:rPr>
        <w:t>é fondy.</w:t>
      </w:r>
    </w:p>
    <w:p w:rsidR="006515C8" w:rsidRDefault="00FB0323">
      <w:pPr>
        <w:pStyle w:val="Standard"/>
        <w:numPr>
          <w:ilvl w:val="0"/>
          <w:numId w:val="11"/>
        </w:numPr>
        <w:rPr>
          <w:rFonts w:hint="eastAsia"/>
        </w:rPr>
      </w:pPr>
      <w:r>
        <w:rPr>
          <w:rFonts w:ascii="Arial" w:hAnsi="Arial"/>
          <w:u w:val="single"/>
        </w:rPr>
        <w:t>Poistenie pomocou špecializovanej inštitúcie</w:t>
      </w:r>
      <w:r>
        <w:rPr>
          <w:rFonts w:ascii="Arial" w:hAnsi="Arial"/>
        </w:rPr>
        <w:t xml:space="preserve"> - Poisťovne, alebo zaisťovne.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Z pohľadu finančnej kategórie je poistenie:</w:t>
      </w:r>
    </w:p>
    <w:p w:rsidR="006515C8" w:rsidRDefault="00FB0323">
      <w:pPr>
        <w:pStyle w:val="Standard"/>
        <w:rPr>
          <w:rFonts w:hint="eastAsia"/>
        </w:rPr>
      </w:pPr>
      <w:r>
        <w:rPr>
          <w:rFonts w:ascii="Arial" w:hAnsi="Arial"/>
          <w:i/>
        </w:rPr>
        <w:t>„Tvorba, rozdeľovanie a používanie poistného fondu na uhradenie peňažných potrieb ekonomických subjektov, ktoré sú v jednotlivýc</w:t>
      </w:r>
      <w:r>
        <w:rPr>
          <w:rFonts w:ascii="Arial" w:hAnsi="Arial"/>
          <w:i/>
        </w:rPr>
        <w:t>h prípadoch výskytu odhadnuteľné</w:t>
      </w:r>
      <w:r>
        <w:rPr>
          <w:rFonts w:ascii="Arial" w:hAnsi="Arial"/>
        </w:rPr>
        <w:t>.“</w:t>
      </w: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Členenie poistenia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Poistenie členíme z hľadiska spôsobu financovania na :</w:t>
      </w:r>
    </w:p>
    <w:p w:rsidR="006515C8" w:rsidRDefault="00FB0323">
      <w:pPr>
        <w:pStyle w:val="Standard"/>
        <w:numPr>
          <w:ilvl w:val="0"/>
          <w:numId w:val="12"/>
        </w:numPr>
        <w:rPr>
          <w:rFonts w:hint="eastAsia"/>
        </w:rPr>
      </w:pPr>
      <w:r>
        <w:rPr>
          <w:rFonts w:ascii="Arial" w:hAnsi="Arial"/>
          <w:u w:val="single"/>
        </w:rPr>
        <w:t>Sociálne poistenie</w:t>
      </w:r>
      <w:r>
        <w:rPr>
          <w:rFonts w:ascii="Arial" w:hAnsi="Arial"/>
        </w:rPr>
        <w:t xml:space="preserve"> - zahŕňa úhradu tzv. sociálnych rizík v rozsahu danom rozhodnutím štátu.</w:t>
      </w:r>
    </w:p>
    <w:p w:rsidR="006515C8" w:rsidRDefault="00FB0323">
      <w:pPr>
        <w:pStyle w:val="Standard"/>
        <w:numPr>
          <w:ilvl w:val="0"/>
          <w:numId w:val="12"/>
        </w:numPr>
        <w:rPr>
          <w:rFonts w:hint="eastAsia"/>
        </w:rPr>
      </w:pPr>
      <w:r>
        <w:rPr>
          <w:rFonts w:ascii="Arial" w:hAnsi="Arial"/>
          <w:u w:val="single"/>
        </w:rPr>
        <w:t>Komerčné poistenie (súkromné)</w:t>
      </w:r>
      <w:r>
        <w:rPr>
          <w:rFonts w:ascii="Arial" w:hAnsi="Arial"/>
        </w:rPr>
        <w:t xml:space="preserve"> - zahŕňa krytie rizík </w:t>
      </w:r>
      <w:r>
        <w:rPr>
          <w:rFonts w:ascii="Arial" w:hAnsi="Arial"/>
        </w:rPr>
        <w:t>ekonomických subjektov (fyzických aj právnických osôb), obvykle v náväznosti na ich rozhodnutia a potreby.</w:t>
      </w:r>
    </w:p>
    <w:p w:rsidR="006515C8" w:rsidRDefault="006515C8">
      <w:pPr>
        <w:pStyle w:val="Standard"/>
        <w:ind w:left="360"/>
        <w:rPr>
          <w:rFonts w:ascii="Arial" w:hAnsi="Arial"/>
        </w:rPr>
      </w:pP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Z právneho hľadiska členíme poistenie na:</w:t>
      </w:r>
    </w:p>
    <w:p w:rsidR="006515C8" w:rsidRDefault="00FB0323">
      <w:pPr>
        <w:pStyle w:val="Standard"/>
        <w:numPr>
          <w:ilvl w:val="0"/>
          <w:numId w:val="13"/>
        </w:numPr>
        <w:rPr>
          <w:rFonts w:hint="eastAsia"/>
        </w:rPr>
      </w:pPr>
      <w:r>
        <w:rPr>
          <w:rFonts w:ascii="Arial" w:hAnsi="Arial"/>
          <w:u w:val="single"/>
        </w:rPr>
        <w:t>Dobrovoľné poistenie</w:t>
      </w:r>
      <w:r>
        <w:rPr>
          <w:rFonts w:ascii="Arial" w:hAnsi="Arial"/>
        </w:rPr>
        <w:t xml:space="preserve"> - poistná zmluva je medzi poistiteľom (poisťovňa) a poistníkom uzatváraná na základe </w:t>
      </w:r>
      <w:r>
        <w:rPr>
          <w:rFonts w:ascii="Arial" w:hAnsi="Arial"/>
        </w:rPr>
        <w:t>dobrovoľného rozhodnutia oboch strán.</w:t>
      </w:r>
    </w:p>
    <w:p w:rsidR="006515C8" w:rsidRDefault="00FB0323">
      <w:pPr>
        <w:pStyle w:val="Standard"/>
        <w:numPr>
          <w:ilvl w:val="0"/>
          <w:numId w:val="13"/>
        </w:numPr>
        <w:rPr>
          <w:rFonts w:hint="eastAsia"/>
        </w:rPr>
      </w:pPr>
      <w:r>
        <w:rPr>
          <w:rFonts w:ascii="Arial" w:hAnsi="Arial"/>
          <w:u w:val="single"/>
        </w:rPr>
        <w:t>Povinné poistenie</w:t>
      </w:r>
      <w:r>
        <w:rPr>
          <w:rFonts w:ascii="Arial" w:hAnsi="Arial"/>
        </w:rPr>
        <w:t>:</w:t>
      </w:r>
    </w:p>
    <w:p w:rsidR="006515C8" w:rsidRDefault="00FB0323">
      <w:pPr>
        <w:pStyle w:val="Standard"/>
        <w:numPr>
          <w:ilvl w:val="0"/>
          <w:numId w:val="13"/>
        </w:numPr>
        <w:rPr>
          <w:rFonts w:hint="eastAsia"/>
        </w:rPr>
      </w:pPr>
      <w:r>
        <w:rPr>
          <w:rFonts w:ascii="Arial" w:hAnsi="Arial"/>
          <w:u w:val="single"/>
        </w:rPr>
        <w:t>Povinné zmluvné poistenie</w:t>
      </w:r>
      <w:r>
        <w:rPr>
          <w:rFonts w:ascii="Arial" w:hAnsi="Arial"/>
        </w:rPr>
        <w:t xml:space="preserve"> - zo zákona vyplýva povinnosť napr. </w:t>
      </w:r>
      <w:hyperlink r:id="rId7" w:history="1">
        <w:r>
          <w:rPr>
            <w:rFonts w:ascii="Arial" w:hAnsi="Arial"/>
            <w:b/>
          </w:rPr>
          <w:t>uzatvorenie PZP</w:t>
        </w:r>
      </w:hyperlink>
      <w:r>
        <w:rPr>
          <w:rFonts w:ascii="Arial" w:hAnsi="Arial"/>
        </w:rPr>
        <w:t xml:space="preserve"> (Povinné zmluvné poistenie vozidiel, Poistenie lekárov, architektov</w:t>
      </w:r>
      <w:r>
        <w:rPr>
          <w:rFonts w:ascii="Arial" w:hAnsi="Arial"/>
        </w:rPr>
        <w:t>, advokátov, súdnych znalcov, cestných dopravcov, ...)</w:t>
      </w:r>
    </w:p>
    <w:p w:rsidR="006515C8" w:rsidRDefault="00FB0323">
      <w:pPr>
        <w:pStyle w:val="Standard"/>
        <w:numPr>
          <w:ilvl w:val="0"/>
          <w:numId w:val="13"/>
        </w:numPr>
        <w:rPr>
          <w:rFonts w:hint="eastAsia"/>
        </w:rPr>
      </w:pPr>
      <w:r>
        <w:rPr>
          <w:rFonts w:ascii="Arial" w:hAnsi="Arial"/>
          <w:u w:val="single"/>
        </w:rPr>
        <w:t>Zákonné poistenie</w:t>
      </w:r>
      <w:r>
        <w:rPr>
          <w:rFonts w:ascii="Arial" w:hAnsi="Arial"/>
        </w:rPr>
        <w:t xml:space="preserve"> - Poistenie je vynucované zákonom a poistný vzťah nevzniká na základe zmluvy.</w:t>
      </w: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Životné poistenie</w:t>
      </w:r>
    </w:p>
    <w:p w:rsidR="006515C8" w:rsidRDefault="00FB0323">
      <w:pPr>
        <w:pStyle w:val="Standard"/>
        <w:rPr>
          <w:rFonts w:hint="eastAsia"/>
        </w:rPr>
      </w:pPr>
      <w:r>
        <w:rPr>
          <w:rFonts w:ascii="Arial" w:hAnsi="Arial"/>
        </w:rPr>
        <w:t xml:space="preserve">Životné poistenie je zložitá téma, ktorej sa venujú napríklad na </w:t>
      </w:r>
      <w:hyperlink r:id="rId8" w:history="1">
        <w:r>
          <w:rPr>
            <w:rFonts w:ascii="Arial" w:hAnsi="Arial"/>
            <w:b/>
          </w:rPr>
          <w:t>týchto stránkach</w:t>
        </w:r>
      </w:hyperlink>
      <w:r>
        <w:rPr>
          <w:rFonts w:ascii="Arial" w:hAnsi="Arial"/>
        </w:rPr>
        <w:t>. Poznáme základné druhy tohoto poistenia:</w:t>
      </w:r>
    </w:p>
    <w:p w:rsidR="006515C8" w:rsidRDefault="00FB0323">
      <w:pPr>
        <w:pStyle w:val="ListParagraph"/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/>
        </w:rPr>
        <w:t>Kapitálové životné poistenie</w:t>
      </w:r>
    </w:p>
    <w:p w:rsidR="006515C8" w:rsidRDefault="00FB032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Investičné životné poistenie</w:t>
      </w:r>
    </w:p>
    <w:p w:rsidR="006515C8" w:rsidRDefault="00FB032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Rizikové životné poistenie</w:t>
      </w:r>
    </w:p>
    <w:p w:rsidR="006515C8" w:rsidRDefault="006515C8">
      <w:pPr>
        <w:pStyle w:val="ListParagraph"/>
        <w:rPr>
          <w:rFonts w:ascii="Arial" w:hAnsi="Arial"/>
        </w:rPr>
      </w:pP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Odvetvia životného poistenia</w:t>
      </w:r>
    </w:p>
    <w:p w:rsidR="006515C8" w:rsidRDefault="00FB0323">
      <w:pPr>
        <w:pStyle w:val="ListParagraph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>Poistenie pre prípad smrti, poistenie pre prí</w:t>
      </w:r>
      <w:r>
        <w:rPr>
          <w:rFonts w:ascii="Arial" w:hAnsi="Arial"/>
        </w:rPr>
        <w:t xml:space="preserve">pad dožitia, poistenie pre prípad </w:t>
      </w:r>
      <w:r>
        <w:rPr>
          <w:rFonts w:ascii="Arial" w:hAnsi="Arial"/>
        </w:rPr>
        <w:lastRenderedPageBreak/>
        <w:t>stanoveného veku alebo skoršej smrti.</w:t>
      </w:r>
    </w:p>
    <w:p w:rsidR="006515C8" w:rsidRDefault="00FB0323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Svadobné poistenie alebo poistenie prostriedkov na výživu detí.</w:t>
      </w:r>
    </w:p>
    <w:p w:rsidR="006515C8" w:rsidRDefault="00FB0323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Dôchodkové poistenie</w:t>
      </w:r>
    </w:p>
    <w:p w:rsidR="006515C8" w:rsidRDefault="00FB0323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Poistenie podľa bodu 1 až 3 spojené s investičným fondom.</w:t>
      </w:r>
    </w:p>
    <w:p w:rsidR="006515C8" w:rsidRDefault="00FB0323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Kapitálové činnosti.</w:t>
      </w:r>
    </w:p>
    <w:p w:rsidR="006515C8" w:rsidRDefault="00FB0323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Poistenie pre prípad</w:t>
      </w:r>
      <w:r>
        <w:rPr>
          <w:rFonts w:ascii="Arial" w:hAnsi="Arial"/>
        </w:rPr>
        <w:t xml:space="preserve"> úrazu alebo choroby, ak je doplnkom bodov 1 až 5.</w:t>
      </w: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Odvetvia neživotného poistenia</w:t>
      </w:r>
    </w:p>
    <w:p w:rsidR="006515C8" w:rsidRDefault="00FB0323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Úrazové poistenie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choroby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škôd na pozemných dopravných prostriedkoch iných než dráhových vozidlách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škôd na dráhových vozidlách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škôd na</w:t>
      </w:r>
      <w:r>
        <w:rPr>
          <w:rFonts w:ascii="Arial" w:hAnsi="Arial"/>
        </w:rPr>
        <w:t xml:space="preserve"> leteckých dopravných prostriedkoch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Poistenie škôd na plavidlách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prepravovaných vecí vrátane batožiny a iného majetku bez ohľadu na použitý dopravný prostriedok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škôd na majetku inom ako uvedenom v bodoch 3 - 7 spôsobených: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požiarom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výb</w:t>
      </w:r>
      <w:r>
        <w:rPr>
          <w:rFonts w:ascii="Arial" w:hAnsi="Arial"/>
        </w:rPr>
        <w:t>uchom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víchricou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prírodnými živlami inými ako víchricou (blesk, povodeň,...)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jadrovou energiou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zosuvom, alebo poklesom pôdy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iných škôd na majetku inom ako uvedenom v bodoch 3 - 7 vzniknutých krupobitím alebo mrazom alebo inými príčinami.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</w:t>
      </w:r>
      <w:r>
        <w:rPr>
          <w:rFonts w:ascii="Arial" w:hAnsi="Arial"/>
        </w:rPr>
        <w:t xml:space="preserve"> zodpovednosti za škodu vyplývajúca z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prevádzky pozemného motorového vozidla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prevádzky dráhového vozidla</w:t>
      </w:r>
    </w:p>
    <w:p w:rsidR="006515C8" w:rsidRDefault="00FB0323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činnosti dopravcu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zodpovednosti za škodu vyplývajúca z vlastníctva alebo používania leteckého dopravného prostriedku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Poistenie zodpovednosti </w:t>
      </w:r>
      <w:r>
        <w:rPr>
          <w:rFonts w:ascii="Arial" w:hAnsi="Arial"/>
        </w:rPr>
        <w:t>za škodu vyplývajúca z vlastníctva, alebo používania vnútrozemského, alebo námorného plavidla.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Všeobecné poistenie zodpovednosti za škodu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úveru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Poistneie záruky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Poistenie rôznych finančných strát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Poistneie právnej ochrany</w:t>
      </w:r>
    </w:p>
    <w:p w:rsidR="006515C8" w:rsidRDefault="00FB0323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Postenie pomoci osobám v</w:t>
      </w:r>
      <w:r>
        <w:rPr>
          <w:rFonts w:ascii="Arial" w:hAnsi="Arial"/>
        </w:rPr>
        <w:t xml:space="preserve"> núdzi počas cestovania alebo pobytu mimo miesta svojho trvalého bydliska.</w:t>
      </w: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Cestovné poistenie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Poistenie liečebných nákladov v zahraničí neprepláca zdravotná poisťovňa. Respektíve preplatí akútnu zdravotnú starostlivosť v štátnych zariadeniach v krajinách E</w:t>
      </w:r>
      <w:r>
        <w:rPr>
          <w:rFonts w:ascii="Arial" w:hAnsi="Arial"/>
        </w:rPr>
        <w:t>Ú a vo Švajčiarsku. Na krytie nákladov na zdravotnú starostlivosť slúži cestovné poistenie. Patrí sem:</w:t>
      </w:r>
    </w:p>
    <w:p w:rsidR="006515C8" w:rsidRDefault="00FB0323">
      <w:pPr>
        <w:pStyle w:val="ListParagraph"/>
        <w:numPr>
          <w:ilvl w:val="0"/>
          <w:numId w:val="17"/>
        </w:numPr>
        <w:rPr>
          <w:rFonts w:ascii="Arial" w:hAnsi="Arial"/>
        </w:rPr>
      </w:pPr>
      <w:r>
        <w:rPr>
          <w:rFonts w:ascii="Arial" w:hAnsi="Arial"/>
        </w:rPr>
        <w:t>Poistenie liečebných nákladov v zahraničí</w:t>
      </w:r>
    </w:p>
    <w:p w:rsidR="006515C8" w:rsidRDefault="00FB0323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Poistenie pátracích nákladov (poistenie do hôr)</w:t>
      </w:r>
    </w:p>
    <w:p w:rsidR="006515C8" w:rsidRDefault="00FB0323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Poistenie nákladov na storno zájazdu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K poisteniu sa zvykne </w:t>
      </w:r>
      <w:r>
        <w:rPr>
          <w:rFonts w:ascii="Arial" w:hAnsi="Arial"/>
        </w:rPr>
        <w:t>dojednávať množstvo pripoistení. Najčastejšie je toto poistenie uzatvárané v balíku so zájazdom, alebo s online kalkulačkami cestovného poistenia.</w:t>
      </w: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Poistenie zodpovednosti za škodu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Veľmi široká oblasť poisťovníctva. Patria sem hlavne nasledujúce produkty:</w:t>
      </w:r>
    </w:p>
    <w:p w:rsidR="006515C8" w:rsidRDefault="00FB0323">
      <w:pPr>
        <w:pStyle w:val="ListParagraph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oistenie všeobecnej zodpovednosti za škodu podniku / fyzickej osoby</w:t>
      </w:r>
    </w:p>
    <w:p w:rsidR="006515C8" w:rsidRDefault="00FB0323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Poistenie profesnej zodpovednosti za škodu</w:t>
      </w:r>
    </w:p>
    <w:p w:rsidR="006515C8" w:rsidRDefault="00FB0323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Poistenie zodpovednosti za škodu z prevádzky motorového vozidla / lietajúceho dopravného prostriedku / lode</w:t>
      </w: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Poistenie majetku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Poistenie majetku </w:t>
      </w:r>
      <w:r>
        <w:rPr>
          <w:rFonts w:ascii="Arial" w:hAnsi="Arial"/>
        </w:rPr>
        <w:t>rozdeľujeme:</w:t>
      </w:r>
    </w:p>
    <w:p w:rsidR="006515C8" w:rsidRDefault="00FB0323">
      <w:pPr>
        <w:pStyle w:val="ListParagraph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Poistenie privátneho majetku (poistenie domu/bytu, poistenie domácnosti,...)</w:t>
      </w:r>
    </w:p>
    <w:p w:rsidR="006515C8" w:rsidRDefault="00FB0323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Poistenie majetku podniku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Riziká pre ktoré sa zvykne poistenie uzatvárať:</w:t>
      </w:r>
    </w:p>
    <w:p w:rsidR="006515C8" w:rsidRDefault="00FB0323">
      <w:pPr>
        <w:pStyle w:val="ListParagraph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Poistenie živelných rizík</w:t>
      </w:r>
    </w:p>
    <w:p w:rsidR="006515C8" w:rsidRDefault="00FB0323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Poistenie pre prípad krádeže</w:t>
      </w:r>
    </w:p>
    <w:p w:rsidR="006515C8" w:rsidRDefault="00FB0323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Poistenie pre prípad vandalizmu</w:t>
      </w:r>
    </w:p>
    <w:p w:rsidR="006515C8" w:rsidRDefault="00FB0323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iné r</w:t>
      </w:r>
      <w:r>
        <w:rPr>
          <w:rFonts w:ascii="Arial" w:hAnsi="Arial"/>
        </w:rPr>
        <w:t>iziká</w:t>
      </w:r>
    </w:p>
    <w:p w:rsidR="006515C8" w:rsidRDefault="006515C8">
      <w:pPr>
        <w:pStyle w:val="ListParagraph"/>
        <w:rPr>
          <w:rFonts w:ascii="Arial" w:hAnsi="Arial"/>
        </w:rPr>
      </w:pPr>
    </w:p>
    <w:p w:rsidR="006515C8" w:rsidRDefault="00FB0323">
      <w:pPr>
        <w:pStyle w:val="Heading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Poistenie vozidiel</w:t>
      </w:r>
    </w:p>
    <w:p w:rsidR="006515C8" w:rsidRDefault="00FB0323">
      <w:pPr>
        <w:pStyle w:val="Standard"/>
        <w:rPr>
          <w:rFonts w:hint="eastAsia"/>
        </w:rPr>
      </w:pPr>
      <w:r>
        <w:rPr>
          <w:rFonts w:ascii="Arial" w:hAnsi="Arial"/>
        </w:rPr>
        <w:t xml:space="preserve">Pri vozidlách povinne uzatvárame </w:t>
      </w:r>
      <w:r>
        <w:rPr>
          <w:rFonts w:ascii="Arial" w:hAnsi="Arial"/>
          <w:b/>
        </w:rPr>
        <w:t>Povinné zmluvné poistenie zodpovendosti z prevádzky vozidla</w:t>
      </w:r>
      <w:r>
        <w:rPr>
          <w:rFonts w:ascii="Arial" w:hAnsi="Arial"/>
        </w:rPr>
        <w:t>. Toto poistenie je upravené samostatným zákonom o PZP.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Robí ho na Slovensku 12 poisťovní. Toto poistenie kryje škody, ktoré vodič </w:t>
      </w:r>
      <w:r>
        <w:rPr>
          <w:rFonts w:ascii="Arial" w:hAnsi="Arial"/>
        </w:rPr>
        <w:t>prevádzkou vozidla spôsobí tretím osobám. Kryje škody na zdraví, usmrtení, majetku, ušlom zisku a právne náklady.</w:t>
      </w:r>
    </w:p>
    <w:p w:rsidR="006515C8" w:rsidRDefault="00FB0323">
      <w:pPr>
        <w:pStyle w:val="Standard"/>
        <w:rPr>
          <w:rFonts w:hint="eastAsia"/>
        </w:rPr>
      </w:pPr>
      <w:r>
        <w:rPr>
          <w:rFonts w:ascii="Arial" w:hAnsi="Arial"/>
        </w:rPr>
        <w:t xml:space="preserve">Dôležitým produktom pri vozidlách je </w:t>
      </w:r>
      <w:r>
        <w:rPr>
          <w:rFonts w:ascii="Arial" w:hAnsi="Arial"/>
          <w:b/>
        </w:rPr>
        <w:t>havarijné poistenie</w:t>
      </w:r>
      <w:r>
        <w:rPr>
          <w:rFonts w:ascii="Arial" w:hAnsi="Arial"/>
        </w:rPr>
        <w:t>. Kryje škody, ktoré sa stanú na poistenom vozidle. Kryje škody vplyvom havárie, kráde</w:t>
      </w:r>
      <w:r>
        <w:rPr>
          <w:rFonts w:ascii="Arial" w:hAnsi="Arial"/>
        </w:rPr>
        <w:t>že, vandalizmu, alebo živelnej udalosti.</w:t>
      </w:r>
    </w:p>
    <w:p w:rsidR="006515C8" w:rsidRDefault="00FB0323">
      <w:pPr>
        <w:pStyle w:val="Standard"/>
        <w:rPr>
          <w:rFonts w:ascii="Arial" w:hAnsi="Arial"/>
        </w:rPr>
      </w:pPr>
      <w:r>
        <w:rPr>
          <w:rFonts w:ascii="Arial" w:hAnsi="Arial"/>
        </w:rPr>
        <w:t>Ďalšími produktami, ktoré sa týkajú vozidla sú napríklad:</w:t>
      </w:r>
    </w:p>
    <w:p w:rsidR="006515C8" w:rsidRDefault="00FB0323">
      <w:pPr>
        <w:pStyle w:val="ListParagraph"/>
        <w:numPr>
          <w:ilvl w:val="0"/>
          <w:numId w:val="21"/>
        </w:numPr>
        <w:rPr>
          <w:rFonts w:ascii="Arial" w:hAnsi="Arial"/>
        </w:rPr>
      </w:pPr>
      <w:r>
        <w:rPr>
          <w:rFonts w:ascii="Arial" w:hAnsi="Arial"/>
        </w:rPr>
        <w:t>Úrazové poistenie sedadiel</w:t>
      </w:r>
    </w:p>
    <w:p w:rsidR="006515C8" w:rsidRDefault="00FB0323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GAP - poistenie finančnej straty</w:t>
      </w:r>
    </w:p>
    <w:p w:rsidR="006515C8" w:rsidRDefault="00FB0323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Samostatné poistenie čelného skla</w:t>
      </w:r>
    </w:p>
    <w:p w:rsidR="006515C8" w:rsidRDefault="006515C8">
      <w:pPr>
        <w:pStyle w:val="ListParagraph"/>
        <w:rPr>
          <w:rFonts w:ascii="Arial" w:hAnsi="Arial"/>
        </w:rPr>
      </w:pPr>
    </w:p>
    <w:p w:rsidR="006515C8" w:rsidRDefault="006515C8">
      <w:pPr>
        <w:pStyle w:val="ListParagraph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6515C8">
      <w:pPr>
        <w:pStyle w:val="ListParagraph"/>
        <w:ind w:left="0"/>
        <w:rPr>
          <w:rFonts w:ascii="Arial" w:hAnsi="Arial"/>
        </w:rPr>
      </w:pPr>
    </w:p>
    <w:p w:rsidR="006515C8" w:rsidRDefault="00FB0323">
      <w:pPr>
        <w:pStyle w:val="ListParagraph"/>
        <w:ind w:left="0"/>
        <w:rPr>
          <w:rFonts w:hint="eastAsia"/>
        </w:rPr>
      </w:pPr>
      <w:r>
        <w:rPr>
          <w:rFonts w:ascii="Arial" w:hAnsi="Arial"/>
          <w:b/>
          <w:bCs/>
        </w:rPr>
        <w:t>Zdroje</w:t>
      </w:r>
      <w:r>
        <w:rPr>
          <w:rFonts w:ascii="Arial" w:hAnsi="Arial"/>
        </w:rPr>
        <w:t>:</w:t>
      </w:r>
    </w:p>
    <w:p w:rsidR="006515C8" w:rsidRDefault="00FB0323">
      <w:pPr>
        <w:pStyle w:val="ListParagraph"/>
        <w:numPr>
          <w:ilvl w:val="0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Principy pojištění a pojišťovnictví, </w:t>
      </w:r>
      <w:r>
        <w:rPr>
          <w:rFonts w:ascii="Arial" w:hAnsi="Arial"/>
        </w:rPr>
        <w:t>Prof. Ing. Eva Ducháčková</w:t>
      </w:r>
    </w:p>
    <w:p w:rsidR="006515C8" w:rsidRDefault="00FB0323">
      <w:pPr>
        <w:pStyle w:val="ListParagraph"/>
        <w:numPr>
          <w:ilvl w:val="0"/>
          <w:numId w:val="9"/>
        </w:numPr>
        <w:rPr>
          <w:rFonts w:hint="eastAsia"/>
        </w:rPr>
      </w:pPr>
      <w:hyperlink r:id="rId9" w:history="1">
        <w:r>
          <w:rPr>
            <w:rFonts w:ascii="Arial" w:hAnsi="Arial"/>
            <w:b/>
          </w:rPr>
          <w:t>Poistenie.sk</w:t>
        </w:r>
      </w:hyperlink>
    </w:p>
    <w:p w:rsidR="006515C8" w:rsidRDefault="00FB0323">
      <w:pPr>
        <w:pStyle w:val="ListParagraph"/>
        <w:numPr>
          <w:ilvl w:val="0"/>
          <w:numId w:val="9"/>
        </w:numPr>
        <w:spacing w:line="360" w:lineRule="auto"/>
        <w:rPr>
          <w:rFonts w:hint="eastAsia"/>
        </w:rPr>
      </w:pPr>
      <w:r>
        <w:rPr>
          <w:rFonts w:ascii="Arial" w:hAnsi="Arial"/>
        </w:rPr>
        <w:t>Poisťovníctvo, Anna Majtánová</w:t>
      </w:r>
    </w:p>
    <w:sectPr w:rsidR="006515C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23" w:rsidRDefault="00FB0323">
      <w:pPr>
        <w:rPr>
          <w:rFonts w:hint="eastAsia"/>
        </w:rPr>
      </w:pPr>
      <w:r>
        <w:separator/>
      </w:r>
    </w:p>
  </w:endnote>
  <w:endnote w:type="continuationSeparator" w:id="0">
    <w:p w:rsidR="00FB0323" w:rsidRDefault="00FB03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ＭＳ ゴシック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23" w:rsidRDefault="00FB03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0323" w:rsidRDefault="00FB03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EA6"/>
    <w:multiLevelType w:val="multilevel"/>
    <w:tmpl w:val="F44A474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498603C"/>
    <w:multiLevelType w:val="multilevel"/>
    <w:tmpl w:val="472A89D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61E1972"/>
    <w:multiLevelType w:val="multilevel"/>
    <w:tmpl w:val="CE32D7F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8532914"/>
    <w:multiLevelType w:val="multilevel"/>
    <w:tmpl w:val="2A4850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5C148E"/>
    <w:multiLevelType w:val="multilevel"/>
    <w:tmpl w:val="80666C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0CF3D7D"/>
    <w:multiLevelType w:val="multilevel"/>
    <w:tmpl w:val="376C7A6C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3A3B30E0"/>
    <w:multiLevelType w:val="multilevel"/>
    <w:tmpl w:val="99EEDC9A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3D34326A"/>
    <w:multiLevelType w:val="multilevel"/>
    <w:tmpl w:val="A16EAB8A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D4642E6"/>
    <w:multiLevelType w:val="multilevel"/>
    <w:tmpl w:val="7A64C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DED403F"/>
    <w:multiLevelType w:val="multilevel"/>
    <w:tmpl w:val="00866AC0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66621065"/>
    <w:multiLevelType w:val="multilevel"/>
    <w:tmpl w:val="3A263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13978D6"/>
    <w:multiLevelType w:val="multilevel"/>
    <w:tmpl w:val="FAC4EA90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7DA8737D"/>
    <w:multiLevelType w:val="multilevel"/>
    <w:tmpl w:val="A68CBA28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10"/>
  </w:num>
  <w:num w:numId="13">
    <w:abstractNumId w:val="3"/>
  </w:num>
  <w:num w:numId="14">
    <w:abstractNumId w:val="5"/>
    <w:lvlOverride w:ilvl="0"/>
  </w:num>
  <w:num w:numId="15">
    <w:abstractNumId w:val="1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2"/>
    <w:lvlOverride w:ilvl="0"/>
  </w:num>
  <w:num w:numId="18">
    <w:abstractNumId w:val="6"/>
    <w:lvlOverride w:ilvl="0"/>
  </w:num>
  <w:num w:numId="19">
    <w:abstractNumId w:val="9"/>
    <w:lvlOverride w:ilvl="0"/>
  </w:num>
  <w:num w:numId="20">
    <w:abstractNumId w:val="7"/>
    <w:lvlOverride w:ilvl="0"/>
  </w:num>
  <w:num w:numId="21">
    <w:abstractNumId w:val="11"/>
    <w:lvlOverride w:ilvl="0"/>
  </w:num>
  <w:num w:numId="22">
    <w:abstractNumId w:val="1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5C8"/>
    <w:rsid w:val="006515C8"/>
    <w:rsid w:val="00C62C5E"/>
    <w:rsid w:val="00E07245"/>
    <w:rsid w:val="00FB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ing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eastAsia="ＭＳ ゴシック" w:hAnsi="Calibri" w:cs="Tahoma"/>
      <w:b/>
      <w:bCs/>
      <w:color w:val="345A8A"/>
      <w:sz w:val="32"/>
      <w:szCs w:val="32"/>
    </w:rPr>
  </w:style>
  <w:style w:type="paragraph" w:styleId="Heading2">
    <w:name w:val="heading 2"/>
    <w:basedOn w:val="Standard"/>
    <w:next w:val="Standard"/>
    <w:pPr>
      <w:keepNext/>
      <w:keepLines/>
      <w:spacing w:before="200"/>
      <w:outlineLvl w:val="1"/>
    </w:pPr>
    <w:rPr>
      <w:rFonts w:ascii="Calibri" w:eastAsia="ＭＳ ゴシック" w:hAnsi="Calibri" w:cs="Tahom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0">
    <w:name w:val="WWNum20"/>
    <w:basedOn w:val="NoList"/>
    <w:pPr>
      <w:numPr>
        <w:numId w:val="1"/>
      </w:numPr>
    </w:pPr>
  </w:style>
  <w:style w:type="numbering" w:customStyle="1" w:styleId="WWNum14">
    <w:name w:val="WWNum14"/>
    <w:basedOn w:val="NoList"/>
    <w:pPr>
      <w:numPr>
        <w:numId w:val="2"/>
      </w:numPr>
    </w:pPr>
  </w:style>
  <w:style w:type="numbering" w:customStyle="1" w:styleId="WWNum13">
    <w:name w:val="WWNum13"/>
    <w:basedOn w:val="NoList"/>
    <w:pPr>
      <w:numPr>
        <w:numId w:val="3"/>
      </w:numPr>
    </w:pPr>
  </w:style>
  <w:style w:type="numbering" w:customStyle="1" w:styleId="WWNum19">
    <w:name w:val="WWNum19"/>
    <w:basedOn w:val="NoList"/>
    <w:pPr>
      <w:numPr>
        <w:numId w:val="4"/>
      </w:numPr>
    </w:pPr>
  </w:style>
  <w:style w:type="numbering" w:customStyle="1" w:styleId="WWNum17">
    <w:name w:val="WWNum17"/>
    <w:basedOn w:val="NoList"/>
    <w:pPr>
      <w:numPr>
        <w:numId w:val="5"/>
      </w:numPr>
    </w:pPr>
  </w:style>
  <w:style w:type="numbering" w:customStyle="1" w:styleId="WWNum18">
    <w:name w:val="WWNum18"/>
    <w:basedOn w:val="NoList"/>
    <w:pPr>
      <w:numPr>
        <w:numId w:val="6"/>
      </w:numPr>
    </w:pPr>
  </w:style>
  <w:style w:type="numbering" w:customStyle="1" w:styleId="WWNum15">
    <w:name w:val="WWNum15"/>
    <w:basedOn w:val="NoList"/>
    <w:pPr>
      <w:numPr>
        <w:numId w:val="7"/>
      </w:numPr>
    </w:pPr>
  </w:style>
  <w:style w:type="numbering" w:customStyle="1" w:styleId="WWNum16">
    <w:name w:val="WWNum16"/>
    <w:basedOn w:val="NoList"/>
    <w:pPr>
      <w:numPr>
        <w:numId w:val="8"/>
      </w:numPr>
    </w:pPr>
  </w:style>
  <w:style w:type="numbering" w:customStyle="1" w:styleId="WWNum21">
    <w:name w:val="WWNum21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stenie.sk/zivotne-poist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istenie.sk/uzatvor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istenie.s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Poistenie - základy a princípy</vt:lpstr>
      <vt:lpstr>    Poistenie</vt:lpstr>
      <vt:lpstr>    Členenie poistenia</vt:lpstr>
      <vt:lpstr>    Životné poistenie</vt:lpstr>
      <vt:lpstr>    Odvetvia životného poistenia</vt:lpstr>
      <vt:lpstr>    Odvetvia neživotného poistenia</vt:lpstr>
      <vt:lpstr>    Cestovné poistenie</vt:lpstr>
      <vt:lpstr>    Poistenie zodpovednosti za škodu</vt:lpstr>
      <vt:lpstr>    Poistenie majetku</vt:lpstr>
      <vt:lpstr>    Poistenie vozidiel</vt:lpstr>
    </vt:vector>
  </TitlesOfParts>
  <Company/>
  <LinksUpToDate>false</LinksUpToDate>
  <CharactersWithSpaces>6154</CharactersWithSpaces>
  <SharedDoc>false</SharedDoc>
  <HLinks>
    <vt:vector size="18" baseType="variant">
      <vt:variant>
        <vt:i4>1900629</vt:i4>
      </vt:variant>
      <vt:variant>
        <vt:i4>6</vt:i4>
      </vt:variant>
      <vt:variant>
        <vt:i4>0</vt:i4>
      </vt:variant>
      <vt:variant>
        <vt:i4>5</vt:i4>
      </vt:variant>
      <vt:variant>
        <vt:lpwstr>https://www.poistenie.sk/</vt:lpwstr>
      </vt:variant>
      <vt:variant>
        <vt:lpwstr/>
      </vt:variant>
      <vt:variant>
        <vt:i4>4456475</vt:i4>
      </vt:variant>
      <vt:variant>
        <vt:i4>3</vt:i4>
      </vt:variant>
      <vt:variant>
        <vt:i4>0</vt:i4>
      </vt:variant>
      <vt:variant>
        <vt:i4>5</vt:i4>
      </vt:variant>
      <vt:variant>
        <vt:lpwstr>http://www.poistenie.sk/zivotne-poistenie</vt:lpwstr>
      </vt:variant>
      <vt:variant>
        <vt:lpwstr/>
      </vt:variant>
      <vt:variant>
        <vt:i4>393239</vt:i4>
      </vt:variant>
      <vt:variant>
        <vt:i4>0</vt:i4>
      </vt:variant>
      <vt:variant>
        <vt:i4>0</vt:i4>
      </vt:variant>
      <vt:variant>
        <vt:i4>5</vt:i4>
      </vt:variant>
      <vt:variant>
        <vt:lpwstr>https://www.poistenie.sk/uzatvorenie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2015-07-06T09:45:00Z</dcterms:created>
  <dcterms:modified xsi:type="dcterms:W3CDTF">2015-07-06T09:45:00Z</dcterms:modified>
</cp:coreProperties>
</file>